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74" w:rsidRDefault="00DE353B">
      <w:pPr>
        <w:rPr>
          <w:rFonts w:ascii="Times New Roman" w:hAnsi="Times New Roman" w:cs="Times New Roman"/>
        </w:rPr>
      </w:pPr>
      <w:r w:rsidRPr="00DE353B">
        <w:rPr>
          <w:rFonts w:ascii="Times New Roman" w:hAnsi="Times New Roman" w:cs="Times New Roman"/>
        </w:rPr>
        <w:t xml:space="preserve">Предлагаем к поставке </w:t>
      </w:r>
      <w:proofErr w:type="spellStart"/>
      <w:r w:rsidRPr="00DE353B">
        <w:rPr>
          <w:rFonts w:ascii="Times New Roman" w:hAnsi="Times New Roman" w:cs="Times New Roman"/>
        </w:rPr>
        <w:t>хромитовый</w:t>
      </w:r>
      <w:proofErr w:type="spellEnd"/>
      <w:r w:rsidRPr="00DE353B">
        <w:rPr>
          <w:rFonts w:ascii="Times New Roman" w:hAnsi="Times New Roman" w:cs="Times New Roman"/>
        </w:rPr>
        <w:t xml:space="preserve"> песок. </w:t>
      </w:r>
    </w:p>
    <w:p w:rsidR="00DE353B" w:rsidRPr="00DE353B" w:rsidRDefault="008D147D" w:rsidP="00DE353B">
      <w:pPr>
        <w:jc w:val="both"/>
        <w:rPr>
          <w:rFonts w:ascii="Times New Roman" w:hAnsi="Times New Roman" w:cs="Times New Roman"/>
        </w:rPr>
      </w:pPr>
      <w:r w:rsidRPr="00355C07">
        <w:rPr>
          <w:noProof/>
          <w:position w:val="1"/>
        </w:rPr>
        <w:drawing>
          <wp:anchor distT="0" distB="0" distL="114300" distR="114300" simplePos="0" relativeHeight="251659264" behindDoc="1" locked="0" layoutInCell="1" allowOverlap="1" wp14:anchorId="5FE33343" wp14:editId="2A327020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2924175" cy="2628265"/>
            <wp:effectExtent l="0" t="0" r="9525" b="635"/>
            <wp:wrapTight wrapText="bothSides">
              <wp:wrapPolygon edited="0">
                <wp:start x="0" y="0"/>
                <wp:lineTo x="0" y="21449"/>
                <wp:lineTo x="21530" y="21449"/>
                <wp:lineTo x="21530" y="0"/>
                <wp:lineTo x="0" y="0"/>
              </wp:wrapPolygon>
            </wp:wrapTight>
            <wp:docPr id="1" name="Рисунок 1" descr="C:\Users\boiko_to\AppData\Local\Microsoft\Windows\INetCache\Content.Outlook\IL50KSI1\20221025_09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iko_to\AppData\Local\Microsoft\Windows\INetCache\Content.Outlook\IL50KSI1\20221025_093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353B" w:rsidRPr="00DE353B">
        <w:rPr>
          <w:rFonts w:ascii="Times New Roman" w:hAnsi="Times New Roman" w:cs="Times New Roman"/>
        </w:rPr>
        <w:t>Хромитовый</w:t>
      </w:r>
      <w:proofErr w:type="spellEnd"/>
      <w:r w:rsidR="00DE353B" w:rsidRPr="00DE353B">
        <w:rPr>
          <w:rFonts w:ascii="Times New Roman" w:hAnsi="Times New Roman" w:cs="Times New Roman"/>
        </w:rPr>
        <w:t xml:space="preserve"> песок высшего качества обеспечивает преимущества в различных областях применения, включая литейное производство, производство керамики, производство стекла и тормозных накладок.</w:t>
      </w:r>
      <w:r w:rsidR="00DE353B">
        <w:rPr>
          <w:rFonts w:ascii="Times New Roman" w:hAnsi="Times New Roman" w:cs="Times New Roman"/>
        </w:rPr>
        <w:t xml:space="preserve"> П</w:t>
      </w:r>
      <w:r w:rsidR="00DE353B" w:rsidRPr="00DE353B">
        <w:rPr>
          <w:rFonts w:ascii="Times New Roman" w:hAnsi="Times New Roman" w:cs="Times New Roman"/>
        </w:rPr>
        <w:t>одходит для изготовления стержней и облицовки форм, с применением ХТС процессов, особенно для крупных стальных отливок. Обладает высокой теплопроводностью, что обеспечивает более быструю кристаллизацию отливки, предотвращая образования механического и химического пригара, а также ужимин.</w:t>
      </w:r>
      <w:r w:rsidR="00DE353B" w:rsidRPr="00DE353B">
        <w:rPr>
          <w:noProof/>
          <w:position w:val="1"/>
        </w:rPr>
        <w:t xml:space="preserve"> </w:t>
      </w:r>
    </w:p>
    <w:p w:rsidR="00DE353B" w:rsidRPr="00DE353B" w:rsidRDefault="00DE353B" w:rsidP="00DE353B">
      <w:pPr>
        <w:jc w:val="both"/>
        <w:rPr>
          <w:rFonts w:ascii="Times New Roman" w:hAnsi="Times New Roman" w:cs="Times New Roman"/>
          <w:b/>
        </w:rPr>
      </w:pPr>
      <w:r w:rsidRPr="00DE353B">
        <w:rPr>
          <w:rFonts w:ascii="Times New Roman" w:hAnsi="Times New Roman" w:cs="Times New Roman"/>
          <w:b/>
        </w:rPr>
        <w:t>Применение:</w:t>
      </w:r>
    </w:p>
    <w:p w:rsidR="00DE353B" w:rsidRPr="00DE353B" w:rsidRDefault="00DE353B" w:rsidP="00DE3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353B">
        <w:rPr>
          <w:rFonts w:ascii="Times New Roman" w:hAnsi="Times New Roman" w:cs="Times New Roman"/>
        </w:rPr>
        <w:t xml:space="preserve">Изготовление стальных отливок в стержневых и облицовочных смесях, </w:t>
      </w:r>
    </w:p>
    <w:p w:rsidR="00DE353B" w:rsidRPr="00DE353B" w:rsidRDefault="00DE353B" w:rsidP="00DE3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353B">
        <w:rPr>
          <w:rFonts w:ascii="Times New Roman" w:hAnsi="Times New Roman" w:cs="Times New Roman"/>
        </w:rPr>
        <w:t xml:space="preserve">В качестве добавки в тормозные накладки. </w:t>
      </w:r>
    </w:p>
    <w:p w:rsidR="00DE353B" w:rsidRPr="00DE353B" w:rsidRDefault="00DE353B" w:rsidP="00DE3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353B">
        <w:rPr>
          <w:rFonts w:ascii="Times New Roman" w:hAnsi="Times New Roman" w:cs="Times New Roman"/>
        </w:rPr>
        <w:t>При относительно высокой температуре плавления, он имеет низкую температуру спекания (1100 ℃), а смеси на его основе обладают высокой прочностью при термическом ударе. Все эти факторы при изготовлении крупных стальных отливок способствуют предотвращению образования химического и механического пригара, ужимин, улучшают условия кристаллизации металла. Благодаря высокой теплопроводности и теплоаккумулирующей способности хромита возможно осуществлять направленность затвердевания отливки.</w:t>
      </w:r>
    </w:p>
    <w:p w:rsidR="00DE353B" w:rsidRPr="00DE353B" w:rsidRDefault="00DE353B" w:rsidP="00DE353B">
      <w:pPr>
        <w:jc w:val="both"/>
        <w:rPr>
          <w:rFonts w:ascii="Times New Roman" w:hAnsi="Times New Roman" w:cs="Times New Roman"/>
          <w:b/>
        </w:rPr>
      </w:pPr>
      <w:r w:rsidRPr="00DE353B">
        <w:rPr>
          <w:rFonts w:ascii="Times New Roman" w:hAnsi="Times New Roman" w:cs="Times New Roman"/>
          <w:b/>
        </w:rPr>
        <w:t>Характеристики:</w:t>
      </w:r>
    </w:p>
    <w:p w:rsidR="00DE353B" w:rsidRPr="00DE353B" w:rsidRDefault="00DE353B" w:rsidP="00DE353B">
      <w:pPr>
        <w:pStyle w:val="TableParagraph"/>
        <w:numPr>
          <w:ilvl w:val="0"/>
          <w:numId w:val="2"/>
        </w:numPr>
        <w:spacing w:before="0"/>
        <w:ind w:left="349" w:right="204" w:hanging="239"/>
        <w:jc w:val="both"/>
        <w:rPr>
          <w:rFonts w:ascii="Times New Roman" w:hAnsi="Times New Roman" w:cs="Times New Roman"/>
          <w:position w:val="1"/>
          <w:sz w:val="24"/>
          <w:szCs w:val="24"/>
          <w:lang w:val="ru-RU"/>
        </w:rPr>
      </w:pPr>
      <w:r w:rsidRPr="00DE353B">
        <w:rPr>
          <w:rFonts w:ascii="Times New Roman" w:hAnsi="Times New Roman" w:cs="Times New Roman"/>
          <w:position w:val="1"/>
          <w:sz w:val="24"/>
          <w:szCs w:val="24"/>
          <w:lang w:val="ru-RU"/>
        </w:rPr>
        <w:t>высокая температура плавления;</w:t>
      </w:r>
    </w:p>
    <w:p w:rsidR="00DE353B" w:rsidRPr="00DE353B" w:rsidRDefault="00DE353B" w:rsidP="00DE353B">
      <w:pPr>
        <w:pStyle w:val="TableParagraph"/>
        <w:numPr>
          <w:ilvl w:val="0"/>
          <w:numId w:val="2"/>
        </w:numPr>
        <w:spacing w:before="0"/>
        <w:ind w:left="349" w:right="204" w:hanging="239"/>
        <w:jc w:val="both"/>
        <w:rPr>
          <w:rFonts w:ascii="Times New Roman" w:hAnsi="Times New Roman" w:cs="Times New Roman"/>
          <w:position w:val="1"/>
          <w:sz w:val="24"/>
          <w:szCs w:val="24"/>
          <w:lang w:val="ru-RU"/>
        </w:rPr>
      </w:pPr>
      <w:r w:rsidRPr="00DE353B">
        <w:rPr>
          <w:rFonts w:ascii="Times New Roman" w:hAnsi="Times New Roman" w:cs="Times New Roman"/>
          <w:position w:val="1"/>
          <w:sz w:val="24"/>
          <w:szCs w:val="24"/>
          <w:lang w:val="ru-RU"/>
        </w:rPr>
        <w:t>отличная термическая стабильность;</w:t>
      </w:r>
    </w:p>
    <w:p w:rsidR="00DE353B" w:rsidRDefault="00DE353B" w:rsidP="00DE353B">
      <w:pPr>
        <w:pStyle w:val="TableParagraph"/>
        <w:numPr>
          <w:ilvl w:val="0"/>
          <w:numId w:val="2"/>
        </w:numPr>
        <w:spacing w:before="0"/>
        <w:ind w:left="349" w:right="204" w:hanging="239"/>
        <w:jc w:val="both"/>
        <w:rPr>
          <w:rFonts w:ascii="Times New Roman" w:hAnsi="Times New Roman" w:cs="Times New Roman"/>
          <w:position w:val="1"/>
          <w:sz w:val="24"/>
          <w:szCs w:val="24"/>
          <w:lang w:val="ru-RU"/>
        </w:rPr>
      </w:pPr>
      <w:r w:rsidRPr="00DE353B">
        <w:rPr>
          <w:rFonts w:ascii="Times New Roman" w:hAnsi="Times New Roman" w:cs="Times New Roman"/>
          <w:position w:val="1"/>
          <w:sz w:val="24"/>
          <w:szCs w:val="24"/>
          <w:lang w:val="ru-RU"/>
        </w:rPr>
        <w:t>высокая плотность.</w:t>
      </w:r>
    </w:p>
    <w:p w:rsidR="00DE353B" w:rsidRDefault="00DE353B" w:rsidP="00DE353B">
      <w:pPr>
        <w:pStyle w:val="TableParagraph"/>
        <w:spacing w:before="0"/>
        <w:ind w:right="204"/>
        <w:jc w:val="both"/>
        <w:rPr>
          <w:rFonts w:ascii="Times New Roman" w:hAnsi="Times New Roman" w:cs="Times New Roman"/>
          <w:position w:val="1"/>
          <w:sz w:val="24"/>
          <w:szCs w:val="24"/>
          <w:lang w:val="ru-RU"/>
        </w:r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1276"/>
        <w:gridCol w:w="8783"/>
      </w:tblGrid>
      <w:tr w:rsidR="00DE353B" w:rsidRPr="00F50322" w:rsidTr="008D147D">
        <w:trPr>
          <w:trHeight w:val="740"/>
        </w:trPr>
        <w:tc>
          <w:tcPr>
            <w:tcW w:w="1276" w:type="dxa"/>
          </w:tcPr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26"/>
              <w:rPr>
                <w:rFonts w:ascii="Times New Roman" w:hAnsi="Times New Roman" w:cs="Times New Roman"/>
                <w:b/>
                <w:highlight w:val="yellow"/>
              </w:rPr>
            </w:pPr>
            <w:r w:rsidRPr="00DE353B">
              <w:rPr>
                <w:rFonts w:ascii="Times New Roman" w:hAnsi="Times New Roman" w:cs="Times New Roman"/>
                <w:b/>
              </w:rPr>
              <w:t>Состав, %</w:t>
            </w:r>
          </w:p>
        </w:tc>
        <w:tc>
          <w:tcPr>
            <w:tcW w:w="8783" w:type="dxa"/>
          </w:tcPr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Cr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>2</w:t>
            </w:r>
            <w:r w:rsidRPr="00DE353B">
              <w:rPr>
                <w:rFonts w:ascii="Times New Roman" w:hAnsi="Times New Roman" w:cs="Times New Roman"/>
                <w:lang w:val="en-US"/>
              </w:rPr>
              <w:t>O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DE353B">
              <w:rPr>
                <w:rFonts w:ascii="Times New Roman" w:hAnsi="Times New Roman" w:cs="Times New Roman"/>
              </w:rPr>
              <w:t>– 48</w:t>
            </w:r>
            <w:bookmarkStart w:id="0" w:name="_GoBack"/>
            <w:bookmarkEnd w:id="0"/>
            <w:r w:rsidRPr="00DE353B">
              <w:rPr>
                <w:rFonts w:ascii="Times New Roman" w:hAnsi="Times New Roman" w:cs="Times New Roman"/>
              </w:rPr>
              <w:t>,44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Fe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>2</w:t>
            </w:r>
            <w:r w:rsidRPr="00DE353B">
              <w:rPr>
                <w:rFonts w:ascii="Times New Roman" w:hAnsi="Times New Roman" w:cs="Times New Roman"/>
                <w:lang w:val="en-US"/>
              </w:rPr>
              <w:t>O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>3</w:t>
            </w:r>
            <w:r w:rsidRPr="00DE353B">
              <w:rPr>
                <w:rFonts w:ascii="Times New Roman" w:hAnsi="Times New Roman" w:cs="Times New Roman"/>
              </w:rPr>
              <w:t xml:space="preserve"> – 15%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DE353B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DE353B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DE353B">
              <w:rPr>
                <w:rFonts w:ascii="Times New Roman" w:hAnsi="Times New Roman" w:cs="Times New Roman"/>
              </w:rPr>
              <w:t>– до 6%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DE353B">
              <w:rPr>
                <w:rFonts w:ascii="Times New Roman" w:hAnsi="Times New Roman" w:cs="Times New Roman"/>
              </w:rPr>
              <w:t>Влага – 0,2%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DE353B">
              <w:rPr>
                <w:rFonts w:ascii="Times New Roman" w:hAnsi="Times New Roman" w:cs="Times New Roman"/>
              </w:rPr>
              <w:t>Грансостав: &gt;450 -4% 450-250- 94% &lt;200 – 2%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DE353B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DE353B">
              <w:rPr>
                <w:rFonts w:ascii="Times New Roman" w:hAnsi="Times New Roman" w:cs="Times New Roman"/>
              </w:rPr>
              <w:t xml:space="preserve"> – 18,9</w:t>
            </w:r>
            <w:r w:rsidRPr="00DE353B">
              <w:rPr>
                <w:rFonts w:ascii="Times New Roman" w:hAnsi="Times New Roman" w:cs="Times New Roman"/>
              </w:rPr>
              <w:tab/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Al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>2</w:t>
            </w:r>
            <w:r w:rsidRPr="00DE353B">
              <w:rPr>
                <w:rFonts w:ascii="Times New Roman" w:hAnsi="Times New Roman" w:cs="Times New Roman"/>
                <w:lang w:val="en-US"/>
              </w:rPr>
              <w:t>O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>3</w:t>
            </w:r>
            <w:r w:rsidRPr="00DE353B">
              <w:rPr>
                <w:rFonts w:ascii="Times New Roman" w:hAnsi="Times New Roman" w:cs="Times New Roman"/>
              </w:rPr>
              <w:t>– 7,30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DE353B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DE353B">
              <w:rPr>
                <w:rFonts w:ascii="Times New Roman" w:hAnsi="Times New Roman" w:cs="Times New Roman"/>
                <w:vertAlign w:val="subscript"/>
              </w:rPr>
              <w:t xml:space="preserve">2  </w:t>
            </w:r>
            <w:r w:rsidRPr="00DE353B">
              <w:rPr>
                <w:rFonts w:ascii="Times New Roman" w:hAnsi="Times New Roman" w:cs="Times New Roman"/>
              </w:rPr>
              <w:t>– 7,64</w:t>
            </w:r>
            <w:r w:rsidRPr="00DE353B">
              <w:rPr>
                <w:rFonts w:ascii="Times New Roman" w:hAnsi="Times New Roman" w:cs="Times New Roman"/>
              </w:rPr>
              <w:tab/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P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>2</w:t>
            </w:r>
            <w:r w:rsidRPr="00DE353B">
              <w:rPr>
                <w:rFonts w:ascii="Times New Roman" w:hAnsi="Times New Roman" w:cs="Times New Roman"/>
                <w:lang w:val="en-US"/>
              </w:rPr>
              <w:t>O</w:t>
            </w:r>
            <w:r w:rsidRPr="00DE353B">
              <w:rPr>
                <w:rFonts w:ascii="Times New Roman" w:hAnsi="Times New Roman" w:cs="Times New Roman"/>
                <w:vertAlign w:val="subscript"/>
              </w:rPr>
              <w:t xml:space="preserve">5 </w:t>
            </w:r>
            <w:r w:rsidRPr="00DE353B">
              <w:rPr>
                <w:rFonts w:ascii="Times New Roman" w:hAnsi="Times New Roman" w:cs="Times New Roman"/>
              </w:rPr>
              <w:t>–  0,010</w:t>
            </w:r>
            <w:r w:rsidRPr="00DE353B">
              <w:rPr>
                <w:rFonts w:ascii="Times New Roman" w:hAnsi="Times New Roman" w:cs="Times New Roman"/>
              </w:rPr>
              <w:tab/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103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SO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  </w:t>
            </w:r>
            <w:r w:rsidRPr="00DE353B">
              <w:rPr>
                <w:rFonts w:ascii="Times New Roman" w:hAnsi="Times New Roman" w:cs="Times New Roman"/>
                <w:lang w:val="en-US"/>
              </w:rPr>
              <w:t>–  0,046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 xml:space="preserve">  K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E353B">
              <w:rPr>
                <w:rFonts w:ascii="Times New Roman" w:hAnsi="Times New Roman" w:cs="Times New Roman"/>
                <w:lang w:val="en-US"/>
              </w:rPr>
              <w:t>O  –  0,02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CaO –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  <w:t>0,49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TiO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DE353B">
              <w:rPr>
                <w:rFonts w:ascii="Times New Roman" w:hAnsi="Times New Roman" w:cs="Times New Roman"/>
                <w:lang w:val="en-US"/>
              </w:rPr>
              <w:t>–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  <w:t>0,11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V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E353B">
              <w:rPr>
                <w:rFonts w:ascii="Times New Roman" w:hAnsi="Times New Roman" w:cs="Times New Roman"/>
                <w:lang w:val="en-US"/>
              </w:rPr>
              <w:t>O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5 </w:t>
            </w:r>
            <w:r w:rsidRPr="00DE353B">
              <w:rPr>
                <w:rFonts w:ascii="Times New Roman" w:hAnsi="Times New Roman" w:cs="Times New Roman"/>
                <w:lang w:val="en-US"/>
              </w:rPr>
              <w:t>–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  <w:t>0,088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MnO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53B">
              <w:rPr>
                <w:rFonts w:ascii="Times New Roman" w:hAnsi="Times New Roman" w:cs="Times New Roman"/>
                <w:lang w:val="en-US"/>
              </w:rPr>
              <w:t>0,25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Fe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E353B">
              <w:rPr>
                <w:rFonts w:ascii="Times New Roman" w:hAnsi="Times New Roman" w:cs="Times New Roman"/>
                <w:lang w:val="en-US"/>
              </w:rPr>
              <w:t>O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DE353B">
              <w:rPr>
                <w:rFonts w:ascii="Times New Roman" w:hAnsi="Times New Roman" w:cs="Times New Roman"/>
                <w:lang w:val="en-US"/>
              </w:rPr>
              <w:t>– 15,82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Co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E353B">
              <w:rPr>
                <w:rFonts w:ascii="Times New Roman" w:hAnsi="Times New Roman" w:cs="Times New Roman"/>
                <w:lang w:val="en-US"/>
              </w:rPr>
              <w:t>O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</w:t>
            </w:r>
            <w:r w:rsidRPr="00DE353B">
              <w:rPr>
                <w:rFonts w:ascii="Times New Roman" w:hAnsi="Times New Roman" w:cs="Times New Roman"/>
                <w:lang w:val="en-US"/>
              </w:rPr>
              <w:t>– 0,043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NiO –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  <w:t>0,23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ZnO –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  <w:t>0,070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ZrO</w:t>
            </w:r>
            <w:r w:rsidRPr="00DE353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DE353B">
              <w:rPr>
                <w:rFonts w:ascii="Times New Roman" w:hAnsi="Times New Roman" w:cs="Times New Roman"/>
                <w:lang w:val="en-US"/>
              </w:rPr>
              <w:t>–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  <w:t>0,12</w:t>
            </w:r>
          </w:p>
          <w:p w:rsidR="00DE353B" w:rsidRPr="00DE353B" w:rsidRDefault="00DE353B" w:rsidP="00D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ind w:left="85"/>
              <w:rPr>
                <w:rFonts w:ascii="Times New Roman" w:hAnsi="Times New Roman" w:cs="Times New Roman"/>
                <w:lang w:val="en-US"/>
              </w:rPr>
            </w:pPr>
            <w:r w:rsidRPr="00DE353B">
              <w:rPr>
                <w:rFonts w:ascii="Times New Roman" w:hAnsi="Times New Roman" w:cs="Times New Roman"/>
                <w:lang w:val="en-US"/>
              </w:rPr>
              <w:t>Cl –</w:t>
            </w:r>
            <w:r w:rsidRPr="00DE353B">
              <w:rPr>
                <w:rFonts w:ascii="Times New Roman" w:hAnsi="Times New Roman" w:cs="Times New Roman"/>
                <w:lang w:val="en-US"/>
              </w:rPr>
              <w:tab/>
              <w:t>&lt;0.02</w:t>
            </w:r>
          </w:p>
        </w:tc>
      </w:tr>
    </w:tbl>
    <w:p w:rsidR="00DE353B" w:rsidRDefault="00DE353B" w:rsidP="00DE353B">
      <w:pPr>
        <w:pStyle w:val="TableParagraph"/>
        <w:spacing w:before="0"/>
        <w:ind w:right="204"/>
        <w:jc w:val="both"/>
        <w:rPr>
          <w:rFonts w:ascii="Times New Roman" w:hAnsi="Times New Roman" w:cs="Times New Roman"/>
          <w:position w:val="1"/>
          <w:sz w:val="24"/>
          <w:szCs w:val="24"/>
          <w:lang w:val="ru-RU"/>
        </w:rPr>
      </w:pPr>
    </w:p>
    <w:tbl>
      <w:tblPr>
        <w:tblpPr w:leftFromText="180" w:rightFromText="180" w:horzAnchor="margin" w:tblpXSpec="center" w:tblpY="-255"/>
        <w:tblW w:w="10059" w:type="dxa"/>
        <w:tblLayout w:type="fixed"/>
        <w:tblLook w:val="0000" w:firstRow="0" w:lastRow="0" w:firstColumn="0" w:lastColumn="0" w:noHBand="0" w:noVBand="0"/>
      </w:tblPr>
      <w:tblGrid>
        <w:gridCol w:w="3454"/>
        <w:gridCol w:w="6605"/>
      </w:tblGrid>
      <w:tr w:rsidR="008D147D" w:rsidRPr="008D147D" w:rsidTr="008D147D">
        <w:trPr>
          <w:trHeight w:val="32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Компания</w:t>
            </w:r>
          </w:p>
        </w:tc>
        <w:tc>
          <w:tcPr>
            <w:tcW w:w="6605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ООО «ОНХ-Холдинг»</w:t>
            </w:r>
          </w:p>
        </w:tc>
      </w:tr>
      <w:tr w:rsidR="008D147D" w:rsidRPr="008D147D" w:rsidTr="008D147D">
        <w:trPr>
          <w:trHeight w:val="20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>Контактное лицо</w:t>
            </w:r>
          </w:p>
        </w:tc>
        <w:tc>
          <w:tcPr>
            <w:tcW w:w="6605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Агафонов Вячеслав Александрович</w:t>
            </w:r>
          </w:p>
        </w:tc>
      </w:tr>
      <w:tr w:rsidR="008D147D" w:rsidRPr="008D147D" w:rsidTr="008D147D">
        <w:trPr>
          <w:trHeight w:val="40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 xml:space="preserve">Тел. </w:t>
            </w:r>
          </w:p>
        </w:tc>
        <w:tc>
          <w:tcPr>
            <w:tcW w:w="6605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+7-905-355-73-73</w:t>
            </w:r>
          </w:p>
        </w:tc>
      </w:tr>
      <w:tr w:rsidR="008D147D" w:rsidRPr="008D147D" w:rsidTr="008D147D">
        <w:trPr>
          <w:trHeight w:val="42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>E-</w:t>
            </w:r>
            <w:proofErr w:type="spellStart"/>
            <w:r w:rsidRPr="008D147D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</w:p>
        </w:tc>
        <w:tc>
          <w:tcPr>
            <w:tcW w:w="6605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agafonov</w:t>
              </w:r>
              <w:r w:rsidRPr="008D147D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va</w:t>
              </w:r>
              <w:r w:rsidRPr="008D147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onh</w:t>
              </w:r>
              <w:r w:rsidRPr="008D147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holding</w:t>
              </w:r>
              <w:r w:rsidRPr="008D147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D147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8D14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D147D" w:rsidRPr="008D147D" w:rsidTr="008D147D">
        <w:trPr>
          <w:trHeight w:val="27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Цена за</w:t>
            </w:r>
            <w:r w:rsidRPr="008D147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>единицу,</w:t>
            </w:r>
            <w:r w:rsidRPr="008D147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>без</w:t>
            </w:r>
            <w:r w:rsidRPr="008D147D">
              <w:rPr>
                <w:rFonts w:ascii="Times New Roman" w:hAnsi="Times New Roman" w:cs="Times New Roman"/>
                <w:b/>
              </w:rPr>
              <w:t xml:space="preserve"> НДС</w:t>
            </w:r>
          </w:p>
        </w:tc>
        <w:tc>
          <w:tcPr>
            <w:tcW w:w="6605" w:type="dxa"/>
            <w:shd w:val="clear" w:color="auto" w:fill="auto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40 275,00</w:t>
            </w:r>
          </w:p>
        </w:tc>
      </w:tr>
      <w:tr w:rsidR="008D147D" w:rsidRPr="008D147D" w:rsidTr="008D147D">
        <w:trPr>
          <w:trHeight w:val="27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Цена за</w:t>
            </w:r>
            <w:r w:rsidRPr="008D147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>единицу,</w:t>
            </w:r>
            <w:r w:rsidRPr="008D147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  <w:spacing w:val="-1"/>
              </w:rPr>
              <w:t xml:space="preserve">с </w:t>
            </w:r>
            <w:r w:rsidRPr="008D147D">
              <w:rPr>
                <w:rFonts w:ascii="Times New Roman" w:hAnsi="Times New Roman" w:cs="Times New Roman"/>
                <w:b/>
              </w:rPr>
              <w:t>НДС</w:t>
            </w:r>
          </w:p>
        </w:tc>
        <w:tc>
          <w:tcPr>
            <w:tcW w:w="6605" w:type="dxa"/>
            <w:shd w:val="clear" w:color="auto" w:fill="auto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47D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D147D" w:rsidRPr="008D147D" w:rsidTr="008D147D">
        <w:trPr>
          <w:trHeight w:val="27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</w:rPr>
              <w:t>Валюта</w:t>
            </w:r>
          </w:p>
        </w:tc>
        <w:tc>
          <w:tcPr>
            <w:tcW w:w="6605" w:type="dxa"/>
            <w:shd w:val="clear" w:color="auto" w:fill="auto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Рубли</w:t>
            </w:r>
          </w:p>
        </w:tc>
      </w:tr>
      <w:tr w:rsidR="008D147D" w:rsidRPr="008D147D" w:rsidTr="008D147D">
        <w:trPr>
          <w:trHeight w:val="27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</w:rPr>
              <w:t>Условие оплаты</w:t>
            </w:r>
          </w:p>
        </w:tc>
        <w:tc>
          <w:tcPr>
            <w:tcW w:w="6605" w:type="dxa"/>
            <w:shd w:val="clear" w:color="auto" w:fill="auto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  <w:lang w:val="en-US"/>
              </w:rPr>
              <w:t>100%-</w:t>
            </w:r>
            <w:r w:rsidRPr="008D147D">
              <w:rPr>
                <w:rFonts w:ascii="Times New Roman" w:hAnsi="Times New Roman" w:cs="Times New Roman"/>
              </w:rPr>
              <w:t>я предоплата</w:t>
            </w:r>
          </w:p>
        </w:tc>
      </w:tr>
      <w:tr w:rsidR="008D147D" w:rsidRPr="008D147D" w:rsidTr="008D147D">
        <w:trPr>
          <w:trHeight w:val="271"/>
        </w:trPr>
        <w:tc>
          <w:tcPr>
            <w:tcW w:w="3454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  <w:color w:val="000000"/>
              </w:rPr>
            </w:pPr>
            <w:r w:rsidRPr="008D147D">
              <w:rPr>
                <w:rFonts w:ascii="Times New Roman" w:hAnsi="Times New Roman" w:cs="Times New Roman"/>
                <w:b/>
                <w:color w:val="000000"/>
              </w:rPr>
              <w:t>Способ поставки</w:t>
            </w:r>
          </w:p>
        </w:tc>
        <w:tc>
          <w:tcPr>
            <w:tcW w:w="6605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9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Самовывоз со склада в г. Белорецк, ул. Профсоюзная, 51</w:t>
            </w:r>
          </w:p>
        </w:tc>
      </w:tr>
      <w:tr w:rsidR="008D147D" w:rsidRPr="008D147D" w:rsidTr="008D147D">
        <w:trPr>
          <w:trHeight w:val="278"/>
        </w:trPr>
        <w:tc>
          <w:tcPr>
            <w:tcW w:w="3454" w:type="dxa"/>
          </w:tcPr>
          <w:p w:rsidR="008D147D" w:rsidRPr="008D147D" w:rsidRDefault="008D147D" w:rsidP="008D147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Фасовка</w:t>
            </w:r>
            <w:r w:rsidRPr="008D147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6605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D147D">
              <w:rPr>
                <w:rFonts w:ascii="Times New Roman" w:hAnsi="Times New Roman" w:cs="Times New Roman"/>
              </w:rPr>
              <w:t>бигбэгах</w:t>
            </w:r>
            <w:proofErr w:type="spellEnd"/>
            <w:r w:rsidRPr="008D147D">
              <w:rPr>
                <w:rFonts w:ascii="Times New Roman" w:hAnsi="Times New Roman" w:cs="Times New Roman"/>
              </w:rPr>
              <w:t xml:space="preserve"> с целлофановым вкладышем</w:t>
            </w:r>
          </w:p>
        </w:tc>
      </w:tr>
      <w:tr w:rsidR="008D147D" w:rsidRPr="008D147D" w:rsidTr="008D147D">
        <w:trPr>
          <w:trHeight w:val="406"/>
        </w:trPr>
        <w:tc>
          <w:tcPr>
            <w:tcW w:w="3454" w:type="dxa"/>
          </w:tcPr>
          <w:p w:rsidR="008D147D" w:rsidRPr="008D147D" w:rsidRDefault="008D147D" w:rsidP="008D147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D147D">
              <w:rPr>
                <w:rFonts w:ascii="Times New Roman" w:hAnsi="Times New Roman" w:cs="Times New Roman"/>
                <w:b/>
              </w:rPr>
              <w:t>Место</w:t>
            </w:r>
            <w:r w:rsidRPr="008D147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D147D">
              <w:rPr>
                <w:rFonts w:ascii="Times New Roman" w:hAnsi="Times New Roman" w:cs="Times New Roman"/>
                <w:b/>
              </w:rPr>
              <w:t>отгрузки</w:t>
            </w:r>
            <w:r w:rsidRPr="008D147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ind w:right="1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5" w:type="dxa"/>
          </w:tcPr>
          <w:p w:rsidR="008D147D" w:rsidRPr="008D147D" w:rsidRDefault="008D147D" w:rsidP="008D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D147D">
              <w:rPr>
                <w:rFonts w:ascii="Times New Roman" w:hAnsi="Times New Roman" w:cs="Times New Roman"/>
              </w:rPr>
              <w:t>г. Белорецк, отгрузка производится с помощью автомобильного или железнодорожного транспорта</w:t>
            </w:r>
          </w:p>
        </w:tc>
      </w:tr>
    </w:tbl>
    <w:p w:rsidR="00DE353B" w:rsidRPr="00DE353B" w:rsidRDefault="00DE353B" w:rsidP="00DE353B">
      <w:pPr>
        <w:pStyle w:val="TableParagraph"/>
        <w:spacing w:before="0"/>
        <w:ind w:right="204"/>
        <w:jc w:val="both"/>
        <w:rPr>
          <w:rFonts w:ascii="Times New Roman" w:hAnsi="Times New Roman" w:cs="Times New Roman"/>
          <w:position w:val="1"/>
          <w:sz w:val="24"/>
          <w:szCs w:val="24"/>
          <w:lang w:val="ru-RU"/>
        </w:rPr>
      </w:pPr>
    </w:p>
    <w:p w:rsidR="00DE353B" w:rsidRPr="00DE353B" w:rsidRDefault="00DE353B" w:rsidP="00DE353B">
      <w:pPr>
        <w:jc w:val="both"/>
        <w:rPr>
          <w:rFonts w:ascii="Times New Roman" w:hAnsi="Times New Roman" w:cs="Times New Roman"/>
        </w:rPr>
      </w:pPr>
    </w:p>
    <w:sectPr w:rsidR="00DE353B" w:rsidRPr="00DE353B" w:rsidSect="00BB62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EBE"/>
    <w:multiLevelType w:val="hybridMultilevel"/>
    <w:tmpl w:val="24BC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3C3E"/>
    <w:multiLevelType w:val="hybridMultilevel"/>
    <w:tmpl w:val="46406412"/>
    <w:lvl w:ilvl="0" w:tplc="A692A5A6">
      <w:numFmt w:val="bullet"/>
      <w:lvlText w:val="•"/>
      <w:lvlJc w:val="left"/>
      <w:pPr>
        <w:ind w:left="725" w:hanging="615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B"/>
    <w:rsid w:val="004B4E74"/>
    <w:rsid w:val="008D147D"/>
    <w:rsid w:val="00BB6232"/>
    <w:rsid w:val="00D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4DF9"/>
  <w15:chartTrackingRefBased/>
  <w15:docId w15:val="{0C0EBCFD-2B47-4B61-B69D-99DD7927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3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E353B"/>
    <w:pPr>
      <w:widowControl w:val="0"/>
      <w:autoSpaceDE w:val="0"/>
      <w:autoSpaceDN w:val="0"/>
      <w:spacing w:before="35" w:after="0" w:line="240" w:lineRule="auto"/>
      <w:ind w:left="110"/>
    </w:pPr>
    <w:rPr>
      <w:rFonts w:ascii="Lucida Sans Unicode" w:eastAsia="Lucida Sans Unicode" w:hAnsi="Lucida Sans Unicode" w:cs="Lucida Sans Unicode"/>
      <w:lang w:val="en-US"/>
    </w:rPr>
  </w:style>
  <w:style w:type="character" w:styleId="a4">
    <w:name w:val="Hyperlink"/>
    <w:basedOn w:val="a0"/>
    <w:uiPriority w:val="99"/>
    <w:unhideWhenUsed/>
    <w:rsid w:val="008D1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_va@onh-holdin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Олеговна</dc:creator>
  <cp:keywords/>
  <dc:description/>
  <cp:lastModifiedBy>Бойко Татьяна Олеговна</cp:lastModifiedBy>
  <cp:revision>2</cp:revision>
  <dcterms:created xsi:type="dcterms:W3CDTF">2022-11-08T08:22:00Z</dcterms:created>
  <dcterms:modified xsi:type="dcterms:W3CDTF">2022-11-08T08:41:00Z</dcterms:modified>
</cp:coreProperties>
</file>